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53F33125"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2C1220" w:rsidRPr="00484DBF">
        <w:rPr>
          <w:rFonts w:cs="Arial"/>
          <w:bCs/>
          <w:noProof w:val="0"/>
          <w:sz w:val="24"/>
          <w:szCs w:val="24"/>
        </w:rPr>
        <w:tab/>
      </w:r>
      <w:r w:rsidR="00A77D2F" w:rsidRPr="00A77D2F">
        <w:rPr>
          <w:rFonts w:cs="Arial"/>
          <w:bCs/>
          <w:noProof w:val="0"/>
          <w:sz w:val="24"/>
          <w:szCs w:val="24"/>
        </w:rPr>
        <w:t>R3-193497</w:t>
      </w:r>
    </w:p>
    <w:bookmarkEnd w:id="0"/>
    <w:p w14:paraId="5669B020" w14:textId="64F9FA14" w:rsidR="004C654E" w:rsidRPr="00484DBF" w:rsidRDefault="00CA520A" w:rsidP="004C654E">
      <w:pPr>
        <w:pStyle w:val="Header"/>
        <w:tabs>
          <w:tab w:val="left" w:pos="2410"/>
        </w:tabs>
        <w:rPr>
          <w:rFonts w:eastAsia="MS Mincho" w:cs="Arial"/>
          <w:sz w:val="24"/>
          <w:szCs w:val="24"/>
          <w:lang w:val="en-US"/>
        </w:rPr>
      </w:pPr>
      <w:r>
        <w:rPr>
          <w:rFonts w:eastAsia="MS Mincho" w:cs="Arial"/>
          <w:sz w:val="24"/>
          <w:szCs w:val="24"/>
          <w:lang w:val="en-US"/>
        </w:rPr>
        <w:t>Ljubljana, Slovenia, EU</w:t>
      </w:r>
      <w:r w:rsidR="00FC5FE8">
        <w:rPr>
          <w:rFonts w:eastAsia="MS Mincho" w:cs="Arial"/>
          <w:sz w:val="24"/>
          <w:szCs w:val="24"/>
          <w:lang w:val="en-US"/>
        </w:rPr>
        <w:t xml:space="preserve">, </w:t>
      </w:r>
      <w:r>
        <w:rPr>
          <w:rFonts w:eastAsia="MS Mincho" w:cs="Arial"/>
          <w:sz w:val="24"/>
          <w:szCs w:val="24"/>
          <w:lang w:val="en-US"/>
        </w:rPr>
        <w:t>26</w:t>
      </w:r>
      <w:r w:rsidR="00FC5FE8">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Aug</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71553275"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A77D2F">
        <w:rPr>
          <w:rFonts w:cs="Arial"/>
          <w:b/>
          <w:bCs/>
          <w:sz w:val="24"/>
        </w:rPr>
        <w:t>15.3.1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96B6FBA"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9C7812">
        <w:rPr>
          <w:rFonts w:ascii="Arial" w:hAnsi="Arial" w:cs="Arial"/>
          <w:b/>
          <w:bCs/>
          <w:sz w:val="24"/>
        </w:rPr>
        <w:t>Consideration on overload due to CHO</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682DAD18" w14:textId="04434133" w:rsidR="009C7812" w:rsidRDefault="00D83F39" w:rsidP="005D742E">
      <w:pPr>
        <w:rPr>
          <w:lang w:val="en-US"/>
        </w:rPr>
      </w:pPr>
      <w:bookmarkStart w:id="2" w:name="_Toc474247438"/>
      <w:r>
        <w:rPr>
          <w:lang w:val="en-US"/>
        </w:rPr>
        <w:t>RAN3 started the work on Mobility Enhancements at RAN3 #104-bis</w:t>
      </w:r>
      <w:r w:rsidR="000F551E">
        <w:rPr>
          <w:lang w:val="en-US"/>
        </w:rPr>
        <w:t xml:space="preserve">. </w:t>
      </w:r>
      <w:r w:rsidR="009C7812">
        <w:rPr>
          <w:lang w:val="en-US"/>
        </w:rPr>
        <w:t>It was agreed to focus on the Conditional Handover (CHO) first, because this was the topic requested from RAN2. In [1], we discussed the topics that were left open after #104-bis. In this paper, we consider other CHO-related issues that may affect the overall RAN3 solution.</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3FF789E3" w14:textId="4C65FC39" w:rsidR="00964807" w:rsidRDefault="00D66F2A" w:rsidP="005759A2">
      <w:pPr>
        <w:rPr>
          <w:lang w:val="en-US"/>
        </w:rPr>
      </w:pPr>
      <w:r>
        <w:rPr>
          <w:lang w:val="en-US"/>
        </w:rPr>
        <w:t xml:space="preserve">In [1], it is discussed that multiple preparation must be supported in case of CHO, even if only due to backward-compatibility (it is known in the classic HO, so must be supported in CHO, because it reuses the signaling of the classic HO). The new aspect of the CHO is that there is time delay between a CHO is configured and the moment it is </w:t>
      </w:r>
      <w:proofErr w:type="gramStart"/>
      <w:r>
        <w:rPr>
          <w:lang w:val="en-US"/>
        </w:rPr>
        <w:t>actually executed</w:t>
      </w:r>
      <w:proofErr w:type="gramEnd"/>
      <w:r>
        <w:rPr>
          <w:lang w:val="en-US"/>
        </w:rPr>
        <w:t xml:space="preserve">. Over this time, it is under the source node’s management and the source node may react to changing radio conditions by configuring more CHO targets. </w:t>
      </w:r>
    </w:p>
    <w:p w14:paraId="7F89ECB9" w14:textId="2D157D43" w:rsidR="00D66F2A" w:rsidRPr="00E8683E" w:rsidRDefault="00D66F2A">
      <w:pPr>
        <w:rPr>
          <w:b/>
          <w:bCs/>
          <w:lang w:val="en-US"/>
        </w:rPr>
      </w:pPr>
      <w:r w:rsidRPr="00061411">
        <w:rPr>
          <w:b/>
          <w:bCs/>
          <w:lang w:val="en-US"/>
        </w:rPr>
        <w:t>Observation 1: Multiple preparation, also towards the same target node, may be used more extensively in case of CHO tha</w:t>
      </w:r>
      <w:r w:rsidR="09CD5C11" w:rsidRPr="00061411">
        <w:rPr>
          <w:b/>
          <w:bCs/>
          <w:lang w:val="en-US"/>
        </w:rPr>
        <w:t>n</w:t>
      </w:r>
      <w:r w:rsidRPr="00061411">
        <w:rPr>
          <w:b/>
          <w:bCs/>
          <w:lang w:val="en-US"/>
        </w:rPr>
        <w:t xml:space="preserve"> it was in case of the classic HO.</w:t>
      </w:r>
    </w:p>
    <w:p w14:paraId="64650027" w14:textId="68EE1AA6" w:rsidR="00D66F2A" w:rsidRDefault="006F177D" w:rsidP="005759A2">
      <w:pPr>
        <w:rPr>
          <w:lang w:val="en-US"/>
        </w:rPr>
      </w:pPr>
      <w:r>
        <w:rPr>
          <w:lang w:val="en-US"/>
        </w:rPr>
        <w:t xml:space="preserve">Resource management in the target node has always been and will remain </w:t>
      </w:r>
      <w:r w:rsidR="00AA25A2">
        <w:rPr>
          <w:lang w:val="en-US"/>
        </w:rPr>
        <w:t xml:space="preserve">up to the implementation of the target node. In the </w:t>
      </w:r>
      <w:r w:rsidR="00CF06CC">
        <w:rPr>
          <w:lang w:val="en-US"/>
        </w:rPr>
        <w:t>“dumbest”</w:t>
      </w:r>
      <w:r w:rsidR="00AA25A2">
        <w:rPr>
          <w:lang w:val="en-US"/>
        </w:rPr>
        <w:t xml:space="preserve"> </w:t>
      </w:r>
      <w:r w:rsidR="00CF06CC">
        <w:rPr>
          <w:lang w:val="en-US"/>
        </w:rPr>
        <w:t>case</w:t>
      </w:r>
      <w:r w:rsidR="00AA25A2">
        <w:rPr>
          <w:lang w:val="en-US"/>
        </w:rPr>
        <w:t>, it handles each request separately thus reserving necessary resources multiple times. But even in case it does optimize the resource allocation, still, some resources are cell-specific, so requests coming to different cells must cause some over-allocation of the resources. The problem is kind-of like a fractal: it will be visible in the scale of a single node, if multiple request come for a single UE, but even in case of multiple preparation towards different nodes, it will also be visible statistically in the network – the CHO simply creates more opportunities to use multiple preparation.</w:t>
      </w:r>
    </w:p>
    <w:p w14:paraId="4FCD988B" w14:textId="7CB8E6F6" w:rsidR="00AA25A2" w:rsidRPr="00B06598" w:rsidRDefault="00AA25A2" w:rsidP="005759A2">
      <w:pPr>
        <w:rPr>
          <w:b/>
          <w:lang w:val="en-US"/>
        </w:rPr>
      </w:pPr>
      <w:r w:rsidRPr="00B06598">
        <w:rPr>
          <w:b/>
          <w:lang w:val="en-US"/>
        </w:rPr>
        <w:t xml:space="preserve">Observation 2: </w:t>
      </w:r>
      <w:r w:rsidR="00407F6C" w:rsidRPr="00B06598">
        <w:rPr>
          <w:b/>
          <w:lang w:val="en-US"/>
        </w:rPr>
        <w:t>introduction of the CHO will cause higher resource allocation in each node, and in the whole network.</w:t>
      </w:r>
    </w:p>
    <w:p w14:paraId="5C8157C9" w14:textId="2700CA5D" w:rsidR="00407F6C" w:rsidRPr="00B06598" w:rsidRDefault="00B06598" w:rsidP="005759A2">
      <w:pPr>
        <w:rPr>
          <w:b/>
          <w:lang w:val="en-US"/>
        </w:rPr>
      </w:pPr>
      <w:r w:rsidRPr="00B06598">
        <w:rPr>
          <w:b/>
          <w:lang w:val="en-US"/>
        </w:rPr>
        <w:t>Proposal 1: RAN3 shall consider mechanisms to prevent overload due to CHO introduction.</w:t>
      </w:r>
    </w:p>
    <w:p w14:paraId="7B287FF7" w14:textId="11813956" w:rsidR="00B06598" w:rsidRDefault="00A26D92" w:rsidP="005759A2">
      <w:pPr>
        <w:rPr>
          <w:lang w:val="en-US"/>
        </w:rPr>
      </w:pPr>
      <w:r>
        <w:rPr>
          <w:lang w:val="en-US"/>
        </w:rPr>
        <w:t>When such mechanism</w:t>
      </w:r>
      <w:r w:rsidR="00C97AB3">
        <w:rPr>
          <w:lang w:val="en-US"/>
        </w:rPr>
        <w:t>s</w:t>
      </w:r>
      <w:r>
        <w:rPr>
          <w:lang w:val="en-US"/>
        </w:rPr>
        <w:t xml:space="preserve"> are considered, RAN3 shall observe the ongoing discussion in RAN2. The group there, analyses if </w:t>
      </w:r>
      <w:r w:rsidR="00C97AB3">
        <w:rPr>
          <w:lang w:val="en-US"/>
        </w:rPr>
        <w:t xml:space="preserve">it is beneficial to let the target know about the condition defined for the CHO. Such information, if provided, may help the target to identify more likely CHOs from those which are less likely – and to allocate resources accordingly. However, even if RAN2 does not agree to include all the details of the CHO condition in the UE context, RAN3 may enable the source node to inform the target node in a more direct way about the needed resource allocation. This may have a form </w:t>
      </w:r>
      <w:proofErr w:type="gramStart"/>
      <w:r w:rsidR="00C97AB3">
        <w:rPr>
          <w:lang w:val="en-US"/>
        </w:rPr>
        <w:t>similar to</w:t>
      </w:r>
      <w:proofErr w:type="gramEnd"/>
      <w:r w:rsidR="00C97AB3">
        <w:rPr>
          <w:lang w:val="en-US"/>
        </w:rPr>
        <w:t xml:space="preserve"> the TNL load information used in LTE: 2-4 codepoints indication how strict resource allocation for the incoming CHO should be.</w:t>
      </w:r>
    </w:p>
    <w:p w14:paraId="2581425B" w14:textId="115BC97B" w:rsidR="00CF06CC" w:rsidRPr="00CF06CC" w:rsidRDefault="00CF06CC" w:rsidP="005759A2">
      <w:pPr>
        <w:rPr>
          <w:b/>
          <w:lang w:val="en-US"/>
        </w:rPr>
      </w:pPr>
      <w:r w:rsidRPr="00CF06CC">
        <w:rPr>
          <w:b/>
          <w:lang w:val="en-US"/>
        </w:rPr>
        <w:t>Proposal 2: RAN3 to monitor the progress of the discussion in RAN2 about providing the condition to the target node.</w:t>
      </w:r>
    </w:p>
    <w:p w14:paraId="52FEE019" w14:textId="6AC9257F" w:rsidR="00753BDA" w:rsidRPr="00753BDA" w:rsidRDefault="00753BDA" w:rsidP="005759A2">
      <w:pPr>
        <w:rPr>
          <w:lang w:val="en-US"/>
        </w:rPr>
      </w:pPr>
      <w:r>
        <w:rPr>
          <w:lang w:val="en-US"/>
        </w:rPr>
        <w:t xml:space="preserve">Since the condition alone may be difficult to interpret for the target node (it does not know implementation of the source and thus how it sets the CHOs), an explicit indicator of the resource handling may bring better inter-operability. This indicator shall be </w:t>
      </w:r>
      <w:r w:rsidR="00225E6A">
        <w:rPr>
          <w:lang w:val="en-US"/>
        </w:rPr>
        <w:t>easily interpretable. An example of such indication can be the TNL load used on LTE, which was based on simple code-points.</w:t>
      </w:r>
    </w:p>
    <w:p w14:paraId="11C832E6" w14:textId="1C081EC4" w:rsidR="00225E6A" w:rsidRPr="00CF06CC" w:rsidRDefault="00225E6A" w:rsidP="00225E6A">
      <w:pPr>
        <w:rPr>
          <w:b/>
          <w:lang w:val="en-US"/>
        </w:rPr>
      </w:pPr>
      <w:bookmarkStart w:id="3" w:name="_Hlk16586816"/>
      <w:r w:rsidRPr="00CF06CC">
        <w:rPr>
          <w:b/>
          <w:lang w:val="en-US"/>
        </w:rPr>
        <w:lastRenderedPageBreak/>
        <w:t xml:space="preserve">Proposal </w:t>
      </w:r>
      <w:r>
        <w:rPr>
          <w:b/>
          <w:lang w:val="en-US"/>
        </w:rPr>
        <w:t>3</w:t>
      </w:r>
      <w:r w:rsidRPr="00CF06CC">
        <w:rPr>
          <w:b/>
          <w:lang w:val="en-US"/>
        </w:rPr>
        <w:t xml:space="preserve">: </w:t>
      </w:r>
      <w:r>
        <w:rPr>
          <w:b/>
          <w:lang w:val="en-US"/>
        </w:rPr>
        <w:t>A simple indication (e.g. a code-point) should be added in the CHO Request to enable the source to indicate to the target how strict resource allocation should be for the planned HO.</w:t>
      </w:r>
    </w:p>
    <w:bookmarkEnd w:id="3"/>
    <w:p w14:paraId="7B262402" w14:textId="580B3AFD" w:rsidR="00CF06CC" w:rsidRDefault="00030F6F" w:rsidP="005759A2">
      <w:pPr>
        <w:rPr>
          <w:lang w:val="en-US"/>
        </w:rPr>
      </w:pPr>
      <w:r>
        <w:rPr>
          <w:lang w:val="en-US"/>
        </w:rPr>
        <w:t xml:space="preserve">Due to load </w:t>
      </w:r>
      <w:r w:rsidR="009964A7">
        <w:rPr>
          <w:lang w:val="en-US"/>
        </w:rPr>
        <w:t>management</w:t>
      </w:r>
      <w:r>
        <w:rPr>
          <w:lang w:val="en-US"/>
        </w:rPr>
        <w:t xml:space="preserve">, it is also important to release the allocated </w:t>
      </w:r>
      <w:r w:rsidR="009964A7">
        <w:rPr>
          <w:lang w:val="en-US"/>
        </w:rPr>
        <w:t xml:space="preserve">CHO as soon as possible. This “as soon as possible” </w:t>
      </w:r>
      <w:proofErr w:type="gramStart"/>
      <w:r w:rsidR="009964A7">
        <w:rPr>
          <w:lang w:val="en-US"/>
        </w:rPr>
        <w:t>has to</w:t>
      </w:r>
      <w:proofErr w:type="gramEnd"/>
      <w:r w:rsidR="009964A7">
        <w:rPr>
          <w:lang w:val="en-US"/>
        </w:rPr>
        <w:t xml:space="preserve"> be defined carefully though. According to RAN2 agreement, in case of </w:t>
      </w:r>
      <w:r w:rsidR="003B5CE4">
        <w:rPr>
          <w:lang w:val="en-US"/>
        </w:rPr>
        <w:t xml:space="preserve">RLF or </w:t>
      </w:r>
      <w:r w:rsidR="009964A7">
        <w:rPr>
          <w:lang w:val="en-US"/>
        </w:rPr>
        <w:t xml:space="preserve">CHO failure, the UE will </w:t>
      </w:r>
      <w:r w:rsidR="003B5CE4">
        <w:rPr>
          <w:lang w:val="en-US"/>
        </w:rPr>
        <w:t xml:space="preserve">perform cell search and if the found cell is a configured CHO target, the UE </w:t>
      </w:r>
      <w:r w:rsidR="009964A7">
        <w:rPr>
          <w:lang w:val="en-US"/>
        </w:rPr>
        <w:t xml:space="preserve">try to use </w:t>
      </w:r>
      <w:r w:rsidR="003B5CE4">
        <w:rPr>
          <w:lang w:val="en-US"/>
        </w:rPr>
        <w:t>that</w:t>
      </w:r>
      <w:r w:rsidR="009964A7">
        <w:rPr>
          <w:lang w:val="en-US"/>
        </w:rPr>
        <w:t xml:space="preserve"> CHO </w:t>
      </w:r>
      <w:r w:rsidR="003B5CE4">
        <w:rPr>
          <w:lang w:val="en-US"/>
        </w:rPr>
        <w:t>access</w:t>
      </w:r>
      <w:r w:rsidR="009964A7">
        <w:rPr>
          <w:lang w:val="en-US"/>
        </w:rPr>
        <w:t xml:space="preserve"> before it switches </w:t>
      </w:r>
      <w:r w:rsidR="003B5CE4">
        <w:rPr>
          <w:lang w:val="en-US"/>
        </w:rPr>
        <w:t xml:space="preserve">to </w:t>
      </w:r>
      <w:r w:rsidR="009964A7">
        <w:rPr>
          <w:lang w:val="en-US"/>
        </w:rPr>
        <w:t xml:space="preserve">the </w:t>
      </w:r>
      <w:r w:rsidR="003B5CE4">
        <w:rPr>
          <w:lang w:val="en-US"/>
        </w:rPr>
        <w:t xml:space="preserve">classic </w:t>
      </w:r>
      <w:r w:rsidR="009964A7">
        <w:rPr>
          <w:lang w:val="en-US"/>
        </w:rPr>
        <w:t xml:space="preserve">RRC Reestablishment procedure </w:t>
      </w:r>
      <w:r w:rsidR="003B5CE4">
        <w:rPr>
          <w:lang w:val="en-US"/>
        </w:rPr>
        <w:t>(</w:t>
      </w:r>
      <w:r w:rsidR="009964A7">
        <w:rPr>
          <w:lang w:val="en-US"/>
        </w:rPr>
        <w:t xml:space="preserve">and if that fails too, </w:t>
      </w:r>
      <w:r w:rsidR="003B5CE4">
        <w:rPr>
          <w:lang w:val="en-US"/>
        </w:rPr>
        <w:t xml:space="preserve">to </w:t>
      </w:r>
      <w:r w:rsidR="009964A7">
        <w:rPr>
          <w:lang w:val="en-US"/>
        </w:rPr>
        <w:t>the NAS recovery)</w:t>
      </w:r>
      <w:r w:rsidR="003B5CE4">
        <w:rPr>
          <w:lang w:val="en-US"/>
        </w:rPr>
        <w:t xml:space="preserve">. </w:t>
      </w:r>
      <w:r w:rsidR="00F1672D">
        <w:rPr>
          <w:lang w:val="en-US"/>
        </w:rPr>
        <w:t xml:space="preserve">However, for this mechanism to work, the CHO target </w:t>
      </w:r>
      <w:proofErr w:type="gramStart"/>
      <w:r w:rsidR="00F1672D">
        <w:rPr>
          <w:lang w:val="en-US"/>
        </w:rPr>
        <w:t>has to</w:t>
      </w:r>
      <w:proofErr w:type="gramEnd"/>
      <w:r w:rsidR="00F1672D">
        <w:rPr>
          <w:lang w:val="en-US"/>
        </w:rPr>
        <w:t xml:space="preserve"> be still prepared. Therefore, the source shall not cancel CHO in other targets before the UE successfully accesses one of them. If the cancellation is based on the new “HO success”, the latter </w:t>
      </w:r>
      <w:proofErr w:type="gramStart"/>
      <w:r w:rsidR="00F1672D">
        <w:rPr>
          <w:lang w:val="en-US"/>
        </w:rPr>
        <w:t>has to</w:t>
      </w:r>
      <w:proofErr w:type="gramEnd"/>
      <w:r w:rsidR="00F1672D">
        <w:rPr>
          <w:lang w:val="en-US"/>
        </w:rPr>
        <w:t xml:space="preserve"> be sent only after the access is completed.</w:t>
      </w:r>
    </w:p>
    <w:p w14:paraId="41E2DE4B" w14:textId="1B86F28A" w:rsidR="00F1672D" w:rsidRPr="00185EB7" w:rsidRDefault="00F1672D" w:rsidP="005759A2">
      <w:pPr>
        <w:rPr>
          <w:b/>
          <w:lang w:val="en-US"/>
        </w:rPr>
      </w:pPr>
      <w:r w:rsidRPr="00185EB7">
        <w:rPr>
          <w:b/>
          <w:lang w:val="en-US"/>
        </w:rPr>
        <w:t xml:space="preserve">Proposal </w:t>
      </w:r>
      <w:r w:rsidR="00225E6A">
        <w:rPr>
          <w:b/>
          <w:lang w:val="en-US"/>
        </w:rPr>
        <w:t>4</w:t>
      </w:r>
      <w:r w:rsidRPr="00185EB7">
        <w:rPr>
          <w:b/>
          <w:lang w:val="en-US"/>
        </w:rPr>
        <w:t xml:space="preserve">: The </w:t>
      </w:r>
      <w:r w:rsidR="00B80F07" w:rsidRPr="00185EB7">
        <w:rPr>
          <w:b/>
          <w:lang w:val="en-US"/>
        </w:rPr>
        <w:t xml:space="preserve">moment the CHO cancel is sent to not used targets may be up to the implementation, but the specification must not force the </w:t>
      </w:r>
      <w:r w:rsidRPr="00185EB7">
        <w:rPr>
          <w:b/>
          <w:lang w:val="en-US"/>
        </w:rPr>
        <w:t xml:space="preserve">source node to cancel CHO in not used targets </w:t>
      </w:r>
      <w:r w:rsidR="00B80F07" w:rsidRPr="00185EB7">
        <w:rPr>
          <w:b/>
          <w:lang w:val="en-US"/>
        </w:rPr>
        <w:t>before the UE successfully completes the access procedure to the selected target cell.</w:t>
      </w:r>
    </w:p>
    <w:p w14:paraId="28E42E52" w14:textId="77777777" w:rsidR="000F16C4" w:rsidRPr="005F10C3" w:rsidRDefault="00CD2620" w:rsidP="00E00CEF">
      <w:pPr>
        <w:pStyle w:val="Heading1"/>
      </w:pPr>
      <w:r w:rsidRPr="005F10C3">
        <w:t>3</w:t>
      </w:r>
      <w:r w:rsidR="000F16C4" w:rsidRPr="005F10C3">
        <w:tab/>
      </w:r>
      <w:r w:rsidRPr="005F10C3">
        <w:t>Conclusions</w:t>
      </w:r>
    </w:p>
    <w:p w14:paraId="446D9785" w14:textId="11D25809" w:rsidR="00666CD2" w:rsidRDefault="00A77D2F" w:rsidP="009F482E">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the consequences of introducing CHO widely on the resource utilization in the network. We make 2 observations:</w:t>
      </w:r>
    </w:p>
    <w:p w14:paraId="4D880618" w14:textId="386D8690" w:rsidR="00A77D2F" w:rsidRPr="00A77D2F" w:rsidRDefault="00A77D2F" w:rsidP="00A77D2F">
      <w:pPr>
        <w:ind w:left="284"/>
        <w:jc w:val="both"/>
        <w:rPr>
          <w:b/>
          <w:bCs/>
          <w:lang w:val="en-US"/>
        </w:rPr>
      </w:pPr>
      <w:r w:rsidRPr="00A77D2F">
        <w:rPr>
          <w:b/>
          <w:bCs/>
          <w:lang w:val="en-US"/>
        </w:rPr>
        <w:t>O1: Multiple preparation, also towards the same target node, may be used more extensively in case of CHO than it was in case of the classic HO.</w:t>
      </w:r>
    </w:p>
    <w:p w14:paraId="58BF4E84" w14:textId="5CD00825" w:rsidR="00A77D2F" w:rsidRPr="00A77D2F" w:rsidRDefault="00A77D2F" w:rsidP="00A77D2F">
      <w:pPr>
        <w:ind w:left="284"/>
        <w:jc w:val="both"/>
        <w:rPr>
          <w:b/>
          <w:bCs/>
          <w:lang w:val="en-US"/>
        </w:rPr>
      </w:pPr>
      <w:r w:rsidRPr="00A77D2F">
        <w:rPr>
          <w:b/>
          <w:bCs/>
          <w:lang w:val="en-US"/>
        </w:rPr>
        <w:t>O2: introduction of the CHO will cause higher resource allocation in each node, and in the whole network.</w:t>
      </w:r>
    </w:p>
    <w:p w14:paraId="0BCD01BC" w14:textId="7DA46F85" w:rsidR="00A77D2F" w:rsidRDefault="00A77D2F" w:rsidP="009F482E">
      <w:pPr>
        <w:jc w:val="both"/>
        <w:rPr>
          <w:bCs/>
          <w:lang w:val="en-US"/>
        </w:rPr>
      </w:pPr>
      <w:r>
        <w:rPr>
          <w:bCs/>
          <w:lang w:val="en-US"/>
        </w:rPr>
        <w:t>They lead us to following proposals:</w:t>
      </w:r>
    </w:p>
    <w:p w14:paraId="28574E8F" w14:textId="61A676B3" w:rsidR="00A77D2F" w:rsidRPr="00A77D2F" w:rsidRDefault="00A77D2F" w:rsidP="00A77D2F">
      <w:pPr>
        <w:ind w:left="284"/>
        <w:jc w:val="both"/>
        <w:rPr>
          <w:b/>
          <w:bCs/>
          <w:lang w:val="en-US"/>
        </w:rPr>
      </w:pPr>
      <w:r w:rsidRPr="00A77D2F">
        <w:rPr>
          <w:b/>
          <w:bCs/>
          <w:lang w:val="en-US"/>
        </w:rPr>
        <w:t>P1: RAN3 shall consider mechanisms to prevent overload due to CHO introduction.</w:t>
      </w:r>
    </w:p>
    <w:p w14:paraId="7D933638" w14:textId="4A24A47E" w:rsidR="00A77D2F" w:rsidRPr="00A77D2F" w:rsidRDefault="00A77D2F" w:rsidP="00A77D2F">
      <w:pPr>
        <w:ind w:left="284"/>
        <w:jc w:val="both"/>
        <w:rPr>
          <w:b/>
          <w:bCs/>
          <w:lang w:val="en-US"/>
        </w:rPr>
      </w:pPr>
      <w:r w:rsidRPr="00A77D2F">
        <w:rPr>
          <w:b/>
          <w:bCs/>
          <w:lang w:val="en-US"/>
        </w:rPr>
        <w:t>P2: RAN3 to monitor the progress of the discussion in RAN2 about providing the condition to the target node.</w:t>
      </w:r>
    </w:p>
    <w:p w14:paraId="19ED5A94" w14:textId="7AC74C16" w:rsidR="00A77D2F" w:rsidRPr="00A77D2F" w:rsidRDefault="00A77D2F" w:rsidP="00A77D2F">
      <w:pPr>
        <w:ind w:left="284"/>
        <w:jc w:val="both"/>
        <w:rPr>
          <w:b/>
          <w:bCs/>
          <w:lang w:val="en-US"/>
        </w:rPr>
      </w:pPr>
      <w:r w:rsidRPr="00A77D2F">
        <w:rPr>
          <w:b/>
          <w:bCs/>
          <w:lang w:val="en-US"/>
        </w:rPr>
        <w:t>P3: A simple indication (e.g. a code-point) should be added in the CHO Request to enable the source to indicate to the target how strict resource allocation should be for the planned HO.</w:t>
      </w:r>
    </w:p>
    <w:p w14:paraId="52CF57B3" w14:textId="1A4E875C" w:rsidR="00A77D2F" w:rsidRPr="00A77D2F" w:rsidRDefault="00A77D2F" w:rsidP="00A77D2F">
      <w:pPr>
        <w:ind w:left="284"/>
        <w:jc w:val="both"/>
        <w:rPr>
          <w:b/>
          <w:bCs/>
          <w:lang w:val="en-US"/>
        </w:rPr>
      </w:pPr>
      <w:r w:rsidRPr="00A77D2F">
        <w:rPr>
          <w:b/>
          <w:bCs/>
          <w:lang w:val="en-US"/>
        </w:rPr>
        <w:t>P4: The moment the CHO cancel is sent to not used targets may be up to the implementation, but the specification must not force the source node to cancel CHO in not used targets before the UE successfully completes the access procedure to the selected target cell.</w:t>
      </w:r>
    </w:p>
    <w:p w14:paraId="51AB9802" w14:textId="33890094" w:rsidR="00A77D2F" w:rsidRDefault="00A77D2F" w:rsidP="009F482E">
      <w:pPr>
        <w:jc w:val="both"/>
        <w:rPr>
          <w:bCs/>
          <w:lang w:val="en-US"/>
        </w:rPr>
      </w:pPr>
      <w:r>
        <w:rPr>
          <w:bCs/>
          <w:lang w:val="en-US"/>
        </w:rPr>
        <w:t xml:space="preserve">These proposals are, in turn, implemented in the TPs to the BL CRs for </w:t>
      </w:r>
      <w:proofErr w:type="spellStart"/>
      <w:r>
        <w:rPr>
          <w:bCs/>
          <w:lang w:val="en-US"/>
        </w:rPr>
        <w:t>Xn</w:t>
      </w:r>
      <w:proofErr w:type="spellEnd"/>
      <w:r>
        <w:rPr>
          <w:bCs/>
          <w:lang w:val="en-US"/>
        </w:rPr>
        <w:t xml:space="preserve"> [2] and X2 [3].</w:t>
      </w:r>
    </w:p>
    <w:p w14:paraId="483F8717" w14:textId="77777777" w:rsidR="00403B9B" w:rsidRPr="006E13D1" w:rsidRDefault="00403B9B" w:rsidP="00403B9B">
      <w:pPr>
        <w:pStyle w:val="Heading1"/>
      </w:pPr>
      <w:r w:rsidRPr="006E13D1">
        <w:t>References</w:t>
      </w:r>
    </w:p>
    <w:p w14:paraId="3DE2A0DA" w14:textId="38C99469" w:rsidR="00EF4630" w:rsidRDefault="00846E32" w:rsidP="00671901">
      <w:pPr>
        <w:numPr>
          <w:ilvl w:val="0"/>
          <w:numId w:val="4"/>
        </w:numPr>
        <w:overflowPunct w:val="0"/>
        <w:autoSpaceDE w:val="0"/>
        <w:autoSpaceDN w:val="0"/>
        <w:adjustRightInd w:val="0"/>
        <w:textAlignment w:val="baseline"/>
        <w:rPr>
          <w:lang w:val="en-US"/>
        </w:rPr>
      </w:pPr>
      <w:bookmarkStart w:id="4" w:name="_Hlk4571997"/>
      <w:r>
        <w:rPr>
          <w:lang w:val="en-US"/>
        </w:rPr>
        <w:t>R3-19</w:t>
      </w:r>
      <w:r w:rsidR="00FD62C8">
        <w:rPr>
          <w:lang w:val="en-US"/>
        </w:rPr>
        <w:t>3500</w:t>
      </w:r>
      <w:r>
        <w:rPr>
          <w:lang w:val="en-US"/>
        </w:rPr>
        <w:t>, RAN3 #10</w:t>
      </w:r>
      <w:r w:rsidR="00E24C1B">
        <w:rPr>
          <w:lang w:val="en-US"/>
        </w:rPr>
        <w:t>5</w:t>
      </w:r>
    </w:p>
    <w:p w14:paraId="3CCC2441" w14:textId="4ABD407B" w:rsidR="00846E32" w:rsidRDefault="00FD62C8" w:rsidP="00671901">
      <w:pPr>
        <w:numPr>
          <w:ilvl w:val="0"/>
          <w:numId w:val="4"/>
        </w:numPr>
        <w:overflowPunct w:val="0"/>
        <w:autoSpaceDE w:val="0"/>
        <w:autoSpaceDN w:val="0"/>
        <w:adjustRightInd w:val="0"/>
        <w:textAlignment w:val="baseline"/>
        <w:rPr>
          <w:lang w:val="en-US"/>
        </w:rPr>
      </w:pPr>
      <w:r>
        <w:rPr>
          <w:lang w:val="en-US"/>
        </w:rPr>
        <w:t>R3-193</w:t>
      </w:r>
      <w:r>
        <w:rPr>
          <w:lang w:val="en-US"/>
        </w:rPr>
        <w:t>498</w:t>
      </w:r>
      <w:r>
        <w:rPr>
          <w:lang w:val="en-US"/>
        </w:rPr>
        <w:t>, RAN3 #105</w:t>
      </w:r>
    </w:p>
    <w:p w14:paraId="595F9556" w14:textId="029DBC03" w:rsidR="00FD62C8" w:rsidRPr="00671901" w:rsidRDefault="00FD62C8" w:rsidP="00671901">
      <w:pPr>
        <w:numPr>
          <w:ilvl w:val="0"/>
          <w:numId w:val="4"/>
        </w:numPr>
        <w:overflowPunct w:val="0"/>
        <w:autoSpaceDE w:val="0"/>
        <w:autoSpaceDN w:val="0"/>
        <w:adjustRightInd w:val="0"/>
        <w:textAlignment w:val="baseline"/>
        <w:rPr>
          <w:lang w:val="en-US"/>
        </w:rPr>
      </w:pPr>
      <w:r>
        <w:rPr>
          <w:lang w:val="en-US"/>
        </w:rPr>
        <w:t>R3-193</w:t>
      </w:r>
      <w:r>
        <w:rPr>
          <w:lang w:val="en-US"/>
        </w:rPr>
        <w:t>499</w:t>
      </w:r>
      <w:r>
        <w:rPr>
          <w:lang w:val="en-US"/>
        </w:rPr>
        <w:t>, RAN3 #105</w:t>
      </w:r>
    </w:p>
    <w:bookmarkEnd w:id="4"/>
    <w:p w14:paraId="01293442" w14:textId="77777777" w:rsidR="0022219E" w:rsidRPr="00591568" w:rsidRDefault="0022219E" w:rsidP="0022219E">
      <w:pPr>
        <w:overflowPunct w:val="0"/>
        <w:autoSpaceDE w:val="0"/>
        <w:autoSpaceDN w:val="0"/>
        <w:adjustRightInd w:val="0"/>
        <w:textAlignment w:val="baseline"/>
      </w:pPr>
    </w:p>
    <w:sectPr w:rsidR="0022219E" w:rsidRPr="00591568"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011D9" w14:textId="77777777" w:rsidR="00596079" w:rsidRDefault="00596079">
      <w:r>
        <w:separator/>
      </w:r>
    </w:p>
  </w:endnote>
  <w:endnote w:type="continuationSeparator" w:id="0">
    <w:p w14:paraId="0C507455" w14:textId="77777777" w:rsidR="00596079" w:rsidRDefault="00596079">
      <w:r>
        <w:continuationSeparator/>
      </w:r>
    </w:p>
  </w:endnote>
  <w:endnote w:type="continuationNotice" w:id="1">
    <w:p w14:paraId="559F260D" w14:textId="77777777" w:rsidR="00596079" w:rsidRDefault="0059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7284E" w14:textId="77777777" w:rsidR="00596079" w:rsidRDefault="00596079">
      <w:r>
        <w:separator/>
      </w:r>
    </w:p>
  </w:footnote>
  <w:footnote w:type="continuationSeparator" w:id="0">
    <w:p w14:paraId="4C5E83C6" w14:textId="77777777" w:rsidR="00596079" w:rsidRDefault="00596079">
      <w:r>
        <w:continuationSeparator/>
      </w:r>
    </w:p>
  </w:footnote>
  <w:footnote w:type="continuationNotice" w:id="1">
    <w:p w14:paraId="4637ACD2" w14:textId="77777777" w:rsidR="00596079" w:rsidRDefault="00596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13"/>
  </w:num>
  <w:num w:numId="4">
    <w:abstractNumId w:val="9"/>
  </w:num>
  <w:num w:numId="5">
    <w:abstractNumId w:val="10"/>
  </w:num>
  <w:num w:numId="6">
    <w:abstractNumId w:val="32"/>
  </w:num>
  <w:num w:numId="7">
    <w:abstractNumId w:val="20"/>
  </w:num>
  <w:num w:numId="8">
    <w:abstractNumId w:val="14"/>
  </w:num>
  <w:num w:numId="9">
    <w:abstractNumId w:val="31"/>
  </w:num>
  <w:num w:numId="10">
    <w:abstractNumId w:val="19"/>
  </w:num>
  <w:num w:numId="11">
    <w:abstractNumId w:val="12"/>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2"/>
  </w:num>
  <w:num w:numId="26">
    <w:abstractNumId w:val="15"/>
  </w:num>
  <w:num w:numId="27">
    <w:abstractNumId w:val="18"/>
  </w:num>
  <w:num w:numId="28">
    <w:abstractNumId w:val="29"/>
  </w:num>
  <w:num w:numId="29">
    <w:abstractNumId w:val="30"/>
  </w:num>
  <w:num w:numId="30">
    <w:abstractNumId w:val="21"/>
  </w:num>
  <w:num w:numId="31">
    <w:abstractNumId w:val="28"/>
  </w:num>
  <w:num w:numId="32">
    <w:abstractNumId w:val="11"/>
  </w:num>
  <w:num w:numId="3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53A8"/>
    <w:rsid w:val="000B7558"/>
    <w:rsid w:val="000B7BCF"/>
    <w:rsid w:val="000C00D3"/>
    <w:rsid w:val="000C143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5B6"/>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4CF7"/>
    <w:rsid w:val="004F536A"/>
    <w:rsid w:val="005020E7"/>
    <w:rsid w:val="00502ACC"/>
    <w:rsid w:val="00503171"/>
    <w:rsid w:val="005104C3"/>
    <w:rsid w:val="0051206A"/>
    <w:rsid w:val="00512309"/>
    <w:rsid w:val="00512CF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B8F"/>
    <w:rsid w:val="005D53D9"/>
    <w:rsid w:val="005D742E"/>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2A45"/>
    <w:rsid w:val="00866280"/>
    <w:rsid w:val="00866E76"/>
    <w:rsid w:val="00866F16"/>
    <w:rsid w:val="0086799C"/>
    <w:rsid w:val="00870195"/>
    <w:rsid w:val="00870AEC"/>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6598"/>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6CA5"/>
    <w:rsid w:val="00CD0D75"/>
    <w:rsid w:val="00CD0E51"/>
    <w:rsid w:val="00CD11AE"/>
    <w:rsid w:val="00CD2620"/>
    <w:rsid w:val="00CD4C7B"/>
    <w:rsid w:val="00CD6C7B"/>
    <w:rsid w:val="00CE07A8"/>
    <w:rsid w:val="00CE1F72"/>
    <w:rsid w:val="00CE2062"/>
    <w:rsid w:val="00CE270D"/>
    <w:rsid w:val="00CE3251"/>
    <w:rsid w:val="00CE3415"/>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5AIRPNAIUNRU-1156379521-1243</_dlc_DocId>
    <_dlc_DocIdUrl xmlns="71c5aaf6-e6ce-465b-b873-5148d2a4c105">
      <Url>https://nokia.sharepoint.com/sites/c5g/e2earch/_layouts/15/DocIdRedir.aspx?ID=5AIRPNAIUNRU-1156379521-1243</Url>
      <Description>5AIRPNAIUNRU-1156379521-1243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30AE8679-3220-4809-BDB0-D259DF13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2</Pages>
  <Words>839</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Amendmends needed to the location reporting</vt:lpstr>
    </vt:vector>
  </TitlesOfParts>
  <Company>Nokia, Nokia Shanghai Bell</Company>
  <LinksUpToDate>false</LinksUpToDate>
  <CharactersWithSpaces>5865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overload due to CHO</dc:title>
  <dc:subject>3GPP RAN3 #105</dc:subject>
  <dc:creator>Benoist Sébire</dc:creator>
  <cp:keywords>&lt;keyword[, keyword, ]&gt;</cp:keywords>
  <dc:description/>
  <cp:lastModifiedBy>Nokia</cp:lastModifiedBy>
  <cp:revision>7</cp:revision>
  <cp:lastPrinted>2019-03-27T07:16:00Z</cp:lastPrinted>
  <dcterms:created xsi:type="dcterms:W3CDTF">2019-08-12T09:05:00Z</dcterms:created>
  <dcterms:modified xsi:type="dcterms:W3CDTF">2019-08-16T08:17:00Z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44712208-f6da-4168-98df-698f444632db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